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FD9" w:rsidRPr="006249BE" w:rsidRDefault="00C85FD9" w:rsidP="00C85FD9">
      <w:pPr>
        <w:jc w:val="center"/>
        <w:rPr>
          <w:lang w:val="kk-KZ"/>
        </w:rPr>
      </w:pPr>
      <w:r w:rsidRPr="006249BE">
        <w:t>3 ИСПОЛЬЗОВАНИЕ КАРТ МИГРАЦИИ ЛЮДЕЙ ДЛЯ ЧС</w:t>
      </w:r>
    </w:p>
    <w:p w:rsidR="00C85FD9" w:rsidRPr="00082337" w:rsidRDefault="00C85FD9" w:rsidP="00C85FD9"/>
    <w:p w:rsidR="00C85FD9" w:rsidRPr="00082337" w:rsidRDefault="00C85FD9" w:rsidP="00C85FD9">
      <w:pPr>
        <w:ind w:firstLine="709"/>
        <w:jc w:val="both"/>
        <w:rPr>
          <w:rStyle w:val="apple-converted-space"/>
          <w:color w:val="333333"/>
          <w:szCs w:val="28"/>
        </w:rPr>
      </w:pPr>
      <w:r w:rsidRPr="00082337">
        <w:rPr>
          <w:rStyle w:val="notranslate"/>
          <w:color w:val="333333"/>
          <w:szCs w:val="28"/>
          <w:bdr w:val="none" w:sz="0" w:space="0" w:color="auto" w:frame="1"/>
        </w:rPr>
        <w:t>Вопросы типа, как много людей пострадало  и сколько нуждается в помощи, являются ключевыми вопросами для</w:t>
      </w:r>
      <w:r w:rsidRPr="00082337">
        <w:rPr>
          <w:rStyle w:val="apple-converted-space"/>
          <w:color w:val="333333"/>
          <w:szCs w:val="28"/>
          <w:bdr w:val="none" w:sz="0" w:space="0" w:color="auto" w:frame="1"/>
        </w:rPr>
        <w:t> </w:t>
      </w:r>
      <w:r w:rsidRPr="00082337">
        <w:rPr>
          <w:rStyle w:val="a-plus-plus1"/>
          <w:color w:val="333333"/>
          <w:szCs w:val="28"/>
          <w:bdr w:val="none" w:sz="0" w:space="0" w:color="auto" w:frame="1"/>
        </w:rPr>
        <w:t>реагирования на ЧС</w:t>
      </w:r>
      <w:r w:rsidRPr="00082337">
        <w:rPr>
          <w:rStyle w:val="notranslate"/>
          <w:color w:val="333333"/>
          <w:szCs w:val="28"/>
          <w:bdr w:val="none" w:sz="0" w:space="0" w:color="auto" w:frame="1"/>
        </w:rPr>
        <w:t>.</w:t>
      </w:r>
      <w:r w:rsidRPr="00082337">
        <w:rPr>
          <w:rStyle w:val="apple-converted-space"/>
          <w:color w:val="333333"/>
          <w:szCs w:val="28"/>
        </w:rPr>
        <w:t> 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>Для получения ясной картины о количестве жителей и их пространственного распределения внутри страны существует несколько источников: национальные статистические управления обычно проводят раз в десять лет переписи и обследовании, которые связаны с административно-территориальными единицами в конкретных странах. Учитывая высокие темпы роста населения и миграции в развивающихся странах отсутствует информация демографической ситуации в стране.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>Существуют Международно признанные базы данных от Отдела народонаселения Организации Объединенных Наций (UNPD 2006), который может объединять данные из источников стран, собранных на протяжении многих лет и оценить статистически перспективы. Дополнительными источниками являются справочники, такие как Всемирный справочник (2008), предлагающие информацию о стране населении административных подразделений, городов и поселков. Источники для данных являются официальные статистические данные и вторичные источники, такие как ежегодников. Существуют несколько топографических источников. Два наиболее широко известные глобальные наборы данных: Сетка населения мира (</w:t>
      </w:r>
      <w:r w:rsidRPr="00082337">
        <w:rPr>
          <w:rStyle w:val="FontStyle283"/>
          <w:szCs w:val="28"/>
          <w:lang w:val="en-US" w:eastAsia="en-US"/>
        </w:rPr>
        <w:t>the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Gridded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Population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of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the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World</w:t>
      </w:r>
      <w:r w:rsidRPr="00082337">
        <w:rPr>
          <w:rStyle w:val="FontStyle283"/>
          <w:szCs w:val="28"/>
          <w:lang w:eastAsia="en-US"/>
        </w:rPr>
        <w:t xml:space="preserve"> (</w:t>
      </w:r>
      <w:r w:rsidRPr="00082337">
        <w:rPr>
          <w:rStyle w:val="FontStyle283"/>
          <w:szCs w:val="28"/>
          <w:lang w:val="en-US" w:eastAsia="en-US"/>
        </w:rPr>
        <w:t>GPW</w:t>
      </w:r>
      <w:r w:rsidRPr="00082337">
        <w:rPr>
          <w:rStyle w:val="FontStyle283"/>
          <w:szCs w:val="28"/>
          <w:lang w:eastAsia="en-US"/>
        </w:rPr>
        <w:t>)</w:t>
      </w:r>
      <w:r w:rsidRPr="00082337">
        <w:rPr>
          <w:szCs w:val="28"/>
        </w:rPr>
        <w:t xml:space="preserve">) (2005) и </w:t>
      </w:r>
      <w:r w:rsidRPr="00082337">
        <w:rPr>
          <w:szCs w:val="28"/>
          <w:lang w:val="en-US"/>
        </w:rPr>
        <w:t>Landscan</w:t>
      </w:r>
      <w:r w:rsidRPr="00082337">
        <w:rPr>
          <w:szCs w:val="28"/>
        </w:rPr>
        <w:t xml:space="preserve"> ™ (2008) . Для получения самой последней доступной версией административные данные граничные и оценки численности населения были использованы для производства растровых сеток, показывающие предполагаемое число людей, проживающих в каждой ячейки сетки, и применяя поверхностное взвешивания, которая предполагает равномерное распределение внутри каждого административного блока. Плотность населения и площадь перекрытия между административной единицы и ячейки сетки были использованы для расчета вклада каждого устройства к общей популяции клеток. Выход несколько глобальных наборов данных, показывающие на дисплее распределение населения на основе национальных или субнациональных административно-территориальных единиц со средним пространственным разрешением 2,5 угловых минут. Информация Переписи распространяется на основе коэффициентов правдоподобия с учетом, например, близости к дорогам, склон, почвенно-растительного покрова, ночных огней, и другой информации. Недостатки глобальных наборов данных их грубой пространственное разрешение. В случае </w:t>
      </w:r>
      <w:r w:rsidRPr="00082337">
        <w:rPr>
          <w:rStyle w:val="FontStyle283"/>
          <w:szCs w:val="28"/>
          <w:lang w:val="en-US" w:eastAsia="en-US"/>
        </w:rPr>
        <w:t>GPW</w:t>
      </w:r>
      <w:r w:rsidRPr="00082337">
        <w:rPr>
          <w:szCs w:val="28"/>
        </w:rPr>
        <w:t xml:space="preserve">, моделирование распределения населения не хватает вызывая равномерное распределение населения в пределах административно-территориальных единиц. Пространственные характеристики, как распределение по отношению к различным почвенно-растительного покрова , не рассматриваются. Тем не менее, оба набора данных имеют неоценимое значение для обеспечения предварительной информации о пострадавшего </w:t>
      </w:r>
      <w:r w:rsidRPr="00082337">
        <w:rPr>
          <w:szCs w:val="28"/>
        </w:rPr>
        <w:lastRenderedPageBreak/>
        <w:t>населения в кризисных ситуациях. Тем не менее, существует спрос на более точных данных о плотности населения в более мелком масштабе.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>В случае ЧС мало времени предоставляется на оповещение и подготовку исходных условий и карты населения. По этой причине была разработана методика быстрого оценивания распределение населения и плотность в пострадавших от стихийных бедствий районов, претендующих бинарный подход отображение. Он основан на спутниковом наблюдении Земли с очень высоким разрешением и классификации застроенных территорий в нем по текстурного анализа. На втором этапе последние данные переписи распространены среди застроенных территорий. Результатом является оценка плотности населения на застроенной территории.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Данные переписи, как правило, собраны по соответствующим административным единицам. Простое пространственное представление в виде векторной многоугольника, связанного с атрибутом отчетную общее число населения. Этот подход отображение предполагает равномерное распределение населения в пределах административной единицы не рассматривая любое географическое явление, влияющим на распределение населения в пространстве. Это равномерное распределение вряд ли произойдет в реальном мире. 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Несколько моделей были разработаны для пространственной разбивки равномерного распределения данных. Среди этих моделей площадная интерполяция и поверхностное моделирование являются самыми известными. Площадь интерполяции относится к распределению данных из одного набора географических единиц ко второму набору независимых единиц, тогда как поверхностное моделирование относится к распределению набора данных, имеющихся в векторном формате. 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Одно из исследований было проведено в рамках </w:t>
      </w:r>
      <w:r w:rsidRPr="00082337">
        <w:rPr>
          <w:rStyle w:val="FontStyle283"/>
          <w:szCs w:val="28"/>
          <w:lang w:val="en-US" w:eastAsia="en-US"/>
        </w:rPr>
        <w:t>LIMES</w:t>
      </w:r>
      <w:r w:rsidRPr="00082337">
        <w:rPr>
          <w:rStyle w:val="FontStyle283"/>
          <w:szCs w:val="28"/>
          <w:lang w:eastAsia="en-US"/>
        </w:rPr>
        <w:t xml:space="preserve"> (</w:t>
      </w:r>
      <w:r w:rsidRPr="00082337">
        <w:rPr>
          <w:rStyle w:val="FontStyle283"/>
          <w:szCs w:val="28"/>
          <w:lang w:val="en-US" w:eastAsia="en-US"/>
        </w:rPr>
        <w:t>Land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and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Sea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Inte</w:t>
      </w:r>
      <w:r w:rsidRPr="00082337">
        <w:rPr>
          <w:rStyle w:val="FontStyle283"/>
          <w:szCs w:val="28"/>
          <w:lang w:eastAsia="en-US"/>
        </w:rPr>
        <w:softHyphen/>
      </w:r>
      <w:r w:rsidRPr="00082337">
        <w:rPr>
          <w:rStyle w:val="FontStyle283"/>
          <w:szCs w:val="28"/>
          <w:lang w:val="en-US" w:eastAsia="en-US"/>
        </w:rPr>
        <w:t>grated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Monitoring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for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European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Security</w:t>
      </w:r>
      <w:r w:rsidRPr="00082337">
        <w:rPr>
          <w:rStyle w:val="FontStyle283"/>
          <w:szCs w:val="28"/>
          <w:lang w:eastAsia="en-US"/>
        </w:rPr>
        <w:t xml:space="preserve">), т.е </w:t>
      </w:r>
      <w:r w:rsidRPr="00082337">
        <w:rPr>
          <w:szCs w:val="28"/>
        </w:rPr>
        <w:t xml:space="preserve"> разработки и применения спутниковых технологий в области безопасности для Европы . исследования были проведены для юго-западного побережья Кипра в рамках миссии по оценке курса (</w:t>
      </w:r>
      <w:r w:rsidRPr="00082337">
        <w:rPr>
          <w:szCs w:val="28"/>
          <w:lang w:val="en-US"/>
        </w:rPr>
        <w:t>AMC</w:t>
      </w:r>
      <w:r w:rsidRPr="00082337">
        <w:rPr>
          <w:szCs w:val="28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Assessment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Mission</w:t>
      </w:r>
      <w:r w:rsidRPr="00082337">
        <w:rPr>
          <w:rStyle w:val="FontStyle283"/>
          <w:szCs w:val="28"/>
          <w:lang w:eastAsia="en-US"/>
        </w:rPr>
        <w:t xml:space="preserve"> </w:t>
      </w:r>
      <w:r w:rsidRPr="00082337">
        <w:rPr>
          <w:rStyle w:val="FontStyle283"/>
          <w:szCs w:val="28"/>
          <w:lang w:val="en-US" w:eastAsia="en-US"/>
        </w:rPr>
        <w:t>Course</w:t>
      </w:r>
      <w:r w:rsidRPr="00082337">
        <w:rPr>
          <w:szCs w:val="28"/>
        </w:rPr>
        <w:t xml:space="preserve">) . </w:t>
      </w:r>
      <w:r w:rsidRPr="00082337">
        <w:rPr>
          <w:szCs w:val="28"/>
          <w:lang w:val="en-US"/>
        </w:rPr>
        <w:t>AMC</w:t>
      </w:r>
      <w:r w:rsidRPr="00082337">
        <w:rPr>
          <w:szCs w:val="28"/>
        </w:rPr>
        <w:t xml:space="preserve"> совместно планировался и проводился по Германским агентством по техническому помощи ( </w:t>
      </w:r>
      <w:r w:rsidRPr="00082337">
        <w:rPr>
          <w:szCs w:val="28"/>
          <w:lang w:val="en-US"/>
        </w:rPr>
        <w:t>THW</w:t>
      </w:r>
      <w:r w:rsidRPr="00082337">
        <w:rPr>
          <w:szCs w:val="28"/>
        </w:rPr>
        <w:t xml:space="preserve"> ) и медицинской неправительственной организации Йохан. Исследования были основаны на сценарии землетрясения с последующим цунами. Решающими факторами были поиск и спасение , жилье, водоснабжение и санитария , продовольствие и 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>Целью исследования было доказательство концепции . По этой причине демографические прогнозы и корректировки за 2008 год не проводились . Для стран-членов Европейского Союза базы данных обеспечивает стандарт геокодирования для ссылок административного деления стран для статистических целей. Границы блоков доступны в векторном формате. Основной процесс получения и анализа данных был проведен в три этапа: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>1. Создание новых целевых зон с использованием дистанционного зондирования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lastRenderedPageBreak/>
        <w:t>2. Создание административной границы слоя карты и интеграции данных переписи в очаговых зонах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>3. Интерполяция площадных данных,  преобразование зоны источника в новые целевые зоны, определение застроенных классов, выделенных из спутниковых снимков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>Использование данных дистанционного зондирования в отношении оценок населения хорошо известна. Его использование имеет то преимущество, что данные доступны для большинства регионов мира, это дешево для покрытия больших площадей и она имеет потенциал для использования данных, которое было записаны в процессе последней переписи населения.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Определение городских районов может успешно быть получены путем вычисления текстуры полутоновой матрицы. Как застроенных структуры в изображении анизотропны в масштабе городского района чувствителен к повороту надо учитывать количество векторов смещения вокруг каждого отдельного пикселя в полной мере. Далее следуют комбинации и интеграцииции полученных текстурных каналов. 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>Для создания административного пограничного слоя муниципалитета карта была вручную географически привязана. На следующем этапе были оцифрованы границы на карте. В результате административная граница не содержит названия муниципалитета, идентификаторы или данные о численности населения в качестве атрибутов. По этой причине пересечение с точки набора данных Географический справочник был применен для определения правильных названий муниципалитета . Они использовались , чтобы присоединиться полученные границы административной единицы с базой данных переписи, в которой содержатся данные о численности населения за 2001 год . Эта информация использовалась для создания картограмма на основе население, а также нанесения плотности населенияна карту с учетом общей области муниципалитета .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Полученная карта представляет собой количество населения в застроенных земель каждого муниципалитета. 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>Тем не менее существую некоторые ограничения: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- Низкая точность имеющейся муниципалитета карте, которая была доступна только как не привязанного файла изображения без атрибуции влияет на общую точность карту. Распределение атрибутов было достигнуто за счет пересекающихся оцифрованный карту с Географический справочник пунктов. Эта процедура была успешной в большинстве случаев. Не может быть идентифицирован только три муниципальных единицы. 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>- Расчет застроенной поверхностного слоя требуется визуальный контроль точности из-за нескольких неправильной классификации, особенно в сельском хозяйстве, используемых областях.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Тем не менее, с приближением представлены оно может быть доказано, что карты населения с высоким пространственным разрешением могут быть получены в течение короткого времени, отведенного в период после стихийного бедствия. Кроме того, ограничения отражают сложные условия </w:t>
      </w:r>
      <w:r w:rsidRPr="00082337">
        <w:rPr>
          <w:szCs w:val="28"/>
        </w:rPr>
        <w:lastRenderedPageBreak/>
        <w:t>труда и проблемы дистанционного зондирования и картографирования, связанной с кризисного реагирования .</w:t>
      </w:r>
    </w:p>
    <w:p w:rsidR="00C85FD9" w:rsidRPr="00082337" w:rsidRDefault="00C85FD9" w:rsidP="00C85FD9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Обработка занимает несколько вспомогательных наборов данных, которые влияют на точность полученных карт. Последние данные переписи должны быть доступны для генерации карт. В большинстве стран мира эти цифры собраны и опубликованы от национальных статистических агентств. Сегодня наборы данных часто приобретенные после кризисных событий также их применение хорошо зарекомендовали себя в оценках ущерба и ликвидации последствий стихийных бедствий в целом. Тем не менее, общее ограничение предлагаемого метода дается не- доступных </w:t>
      </w:r>
      <w:r w:rsidRPr="00082337">
        <w:rPr>
          <w:szCs w:val="28"/>
          <w:lang w:val="en-US"/>
        </w:rPr>
        <w:t>VHR</w:t>
      </w:r>
      <w:r w:rsidRPr="00082337">
        <w:rPr>
          <w:szCs w:val="28"/>
        </w:rPr>
        <w:t xml:space="preserve"> спутниковые фотографии наборов данных из-за плохих погодных условий и облачности что особенно в случае тропических регионах. В последнем случае можно было бы преодолеть применения </w:t>
      </w:r>
      <w:r w:rsidRPr="00082337">
        <w:rPr>
          <w:szCs w:val="28"/>
          <w:lang w:val="en-US"/>
        </w:rPr>
        <w:t>SAR</w:t>
      </w:r>
      <w:r w:rsidRPr="00082337">
        <w:rPr>
          <w:szCs w:val="28"/>
        </w:rPr>
        <w:t xml:space="preserve"> изображения для определения застроенных зон. </w:t>
      </w: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C85FD9"/>
    <w:rsid w:val="00000D30"/>
    <w:rsid w:val="0001425D"/>
    <w:rsid w:val="0005411F"/>
    <w:rsid w:val="00173396"/>
    <w:rsid w:val="001C6D3D"/>
    <w:rsid w:val="00361478"/>
    <w:rsid w:val="00577776"/>
    <w:rsid w:val="005C299C"/>
    <w:rsid w:val="00631C62"/>
    <w:rsid w:val="007A3F03"/>
    <w:rsid w:val="009273D5"/>
    <w:rsid w:val="009E053F"/>
    <w:rsid w:val="00A555FF"/>
    <w:rsid w:val="00B40F4F"/>
    <w:rsid w:val="00B51696"/>
    <w:rsid w:val="00BC14A0"/>
    <w:rsid w:val="00BD2E05"/>
    <w:rsid w:val="00C85FD9"/>
    <w:rsid w:val="00CA3D05"/>
    <w:rsid w:val="00CF6018"/>
    <w:rsid w:val="00D13DF7"/>
    <w:rsid w:val="00D30B60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FD9"/>
    <w:pPr>
      <w:ind w:firstLine="0"/>
      <w:jc w:val="left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C85FD9"/>
  </w:style>
  <w:style w:type="character" w:customStyle="1" w:styleId="FontStyle283">
    <w:name w:val="Font Style283"/>
    <w:basedOn w:val="a0"/>
    <w:uiPriority w:val="99"/>
    <w:rsid w:val="00C85FD9"/>
    <w:rPr>
      <w:rFonts w:ascii="Times New Roman" w:hAnsi="Times New Roman" w:cs="Times New Roman"/>
      <w:color w:val="000000"/>
      <w:sz w:val="18"/>
      <w:szCs w:val="18"/>
    </w:rPr>
  </w:style>
  <w:style w:type="character" w:customStyle="1" w:styleId="notranslate">
    <w:name w:val="notranslate"/>
    <w:basedOn w:val="a0"/>
    <w:rsid w:val="00C85FD9"/>
  </w:style>
  <w:style w:type="character" w:customStyle="1" w:styleId="a-plus-plus1">
    <w:name w:val="a-plus-plus1"/>
    <w:basedOn w:val="a0"/>
    <w:rsid w:val="00C85F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1371</Words>
  <Characters>7816</Characters>
  <Application>Microsoft Office Word</Application>
  <DocSecurity>0</DocSecurity>
  <Lines>65</Lines>
  <Paragraphs>18</Paragraphs>
  <ScaleCrop>false</ScaleCrop>
  <Company>EKTU</Company>
  <LinksUpToDate>false</LinksUpToDate>
  <CharactersWithSpaces>9169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2016-10-10T08:19:00Z</dcterms:created>
  <dcterms:modified xsi:type="dcterms:W3CDTF">2016-10-10T08:20:00Z</dcterms:modified>
</cp:coreProperties>
</file>